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Honduras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caravans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Honduras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Honduras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00:06:12]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Honduras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deescalation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Honduras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intrinsic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overshadowed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caravans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smuggler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coyote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reverberates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Bermeo: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remittances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 Schewel: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 Judith Kel...: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20221004_Policy360_Schewel_Bermeo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